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2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48"/>
        <w:gridCol w:w="4757"/>
      </w:tblGrid>
      <w:tr w:rsidR="00EC256D" w:rsidRPr="00EC256D" w:rsidTr="00BA101F">
        <w:tc>
          <w:tcPr>
            <w:tcW w:w="10105" w:type="dxa"/>
          </w:tcPr>
          <w:p w:rsidR="00EC256D" w:rsidRDefault="00BA101F" w:rsidP="00BA101F">
            <w:pPr>
              <w:pStyle w:val="Heading1"/>
              <w:jc w:val="center"/>
            </w:pPr>
            <w:r>
              <w:t xml:space="preserve"> </w:t>
            </w:r>
            <w:r w:rsidR="007555C0">
              <w:t>Greek Olympics</w:t>
            </w:r>
            <w:r w:rsidR="00B318B0">
              <w:t xml:space="preserve"> - Rubric</w:t>
            </w:r>
          </w:p>
          <w:p w:rsidR="0053080B" w:rsidRDefault="0053080B" w:rsidP="0053080B"/>
          <w:p w:rsidR="0053080B" w:rsidRPr="0053080B" w:rsidRDefault="0053080B" w:rsidP="0053080B">
            <w:r>
              <w:t>Group __________________</w:t>
            </w:r>
            <w:r w:rsidR="007555C0">
              <w:t xml:space="preserve">    Students names: ________________________________________________________________</w:t>
            </w:r>
          </w:p>
        </w:tc>
        <w:tc>
          <w:tcPr>
            <w:tcW w:w="4936" w:type="dxa"/>
          </w:tcPr>
          <w:p w:rsidR="00EC256D" w:rsidRPr="00EC256D" w:rsidRDefault="00EC256D" w:rsidP="0053080B">
            <w:pPr>
              <w:pStyle w:val="Heading2"/>
            </w:pPr>
          </w:p>
        </w:tc>
      </w:tr>
    </w:tbl>
    <w:p w:rsidR="00F27739" w:rsidRPr="000A2B55" w:rsidRDefault="00F27739" w:rsidP="000A2B55"/>
    <w:tbl>
      <w:tblPr>
        <w:tblW w:w="477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88"/>
        <w:gridCol w:w="1146"/>
        <w:gridCol w:w="1146"/>
        <w:gridCol w:w="1146"/>
        <w:gridCol w:w="1585"/>
      </w:tblGrid>
      <w:tr w:rsidR="00B318B0" w:rsidRPr="000A2B55" w:rsidTr="008E6C67">
        <w:trPr>
          <w:trHeight w:val="420"/>
          <w:tblHeader/>
        </w:trPr>
        <w:tc>
          <w:tcPr>
            <w:tcW w:w="4588" w:type="dxa"/>
            <w:shd w:val="clear" w:color="auto" w:fill="DAEEF3" w:themeFill="accent5" w:themeFillTint="33"/>
            <w:vAlign w:val="center"/>
          </w:tcPr>
          <w:p w:rsidR="00B318B0" w:rsidRPr="0053080B" w:rsidRDefault="00B318B0" w:rsidP="00EC256D">
            <w:pPr>
              <w:pStyle w:val="Heading3"/>
              <w:rPr>
                <w:b/>
              </w:rPr>
            </w:pPr>
            <w:r>
              <w:rPr>
                <w:b/>
                <w:sz w:val="40"/>
              </w:rPr>
              <w:t>Element</w:t>
            </w:r>
          </w:p>
        </w:tc>
        <w:tc>
          <w:tcPr>
            <w:tcW w:w="1146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318B0" w:rsidRDefault="00B318B0" w:rsidP="00EC256D">
            <w:pPr>
              <w:pStyle w:val="Heading3"/>
              <w:rPr>
                <w:b/>
              </w:rPr>
            </w:pPr>
            <w:r w:rsidRPr="00B1431A">
              <w:rPr>
                <w:b/>
              </w:rPr>
              <w:t>STRONG</w:t>
            </w:r>
          </w:p>
          <w:p w:rsidR="00B1431A" w:rsidRPr="00B1431A" w:rsidRDefault="00B1431A" w:rsidP="00B1431A">
            <w:r>
              <w:t xml:space="preserve">        (4)</w:t>
            </w:r>
          </w:p>
        </w:tc>
        <w:tc>
          <w:tcPr>
            <w:tcW w:w="1146" w:type="dxa"/>
            <w:shd w:val="clear" w:color="auto" w:fill="DAEEF3" w:themeFill="accent5" w:themeFillTint="33"/>
            <w:vAlign w:val="center"/>
          </w:tcPr>
          <w:p w:rsidR="00B318B0" w:rsidRDefault="00B318B0" w:rsidP="00EC256D">
            <w:pPr>
              <w:pStyle w:val="Heading3"/>
              <w:rPr>
                <w:b/>
              </w:rPr>
            </w:pPr>
            <w:r w:rsidRPr="00B1431A">
              <w:rPr>
                <w:b/>
              </w:rPr>
              <w:t>Pretty Solid</w:t>
            </w:r>
          </w:p>
          <w:p w:rsidR="00B1431A" w:rsidRPr="00B1431A" w:rsidRDefault="00B1431A" w:rsidP="00B1431A">
            <w:r>
              <w:t xml:space="preserve">         (3)</w:t>
            </w:r>
          </w:p>
        </w:tc>
        <w:tc>
          <w:tcPr>
            <w:tcW w:w="1146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318B0" w:rsidRPr="00B1431A" w:rsidRDefault="00B318B0" w:rsidP="00EC256D">
            <w:pPr>
              <w:pStyle w:val="Heading3"/>
              <w:rPr>
                <w:b/>
              </w:rPr>
            </w:pPr>
            <w:r w:rsidRPr="00B1431A">
              <w:rPr>
                <w:b/>
              </w:rPr>
              <w:t>Not as Good as it needs to be</w:t>
            </w:r>
            <w:r w:rsidR="00B1431A">
              <w:rPr>
                <w:b/>
              </w:rPr>
              <w:t xml:space="preserve"> </w:t>
            </w:r>
            <w:r w:rsidR="00B1431A" w:rsidRPr="00B1431A">
              <w:t>(2)</w:t>
            </w:r>
          </w:p>
        </w:tc>
        <w:tc>
          <w:tcPr>
            <w:tcW w:w="1585" w:type="dxa"/>
            <w:shd w:val="clear" w:color="auto" w:fill="DAEEF3" w:themeFill="accent5" w:themeFillTint="33"/>
            <w:vAlign w:val="center"/>
          </w:tcPr>
          <w:p w:rsidR="00B318B0" w:rsidRDefault="007555C0" w:rsidP="00EC256D">
            <w:pPr>
              <w:pStyle w:val="Heading3"/>
              <w:rPr>
                <w:b/>
              </w:rPr>
            </w:pPr>
            <w:r>
              <w:rPr>
                <w:b/>
              </w:rPr>
              <w:t>Incomplete/ Inaccurate</w:t>
            </w:r>
          </w:p>
          <w:p w:rsidR="00B1431A" w:rsidRPr="00B1431A" w:rsidRDefault="00B1431A" w:rsidP="00B1431A">
            <w:r>
              <w:t xml:space="preserve">             (1)</w:t>
            </w:r>
          </w:p>
        </w:tc>
      </w:tr>
      <w:tr w:rsidR="00B318B0" w:rsidRPr="000A2B55" w:rsidTr="008E6C67">
        <w:trPr>
          <w:trHeight w:val="1041"/>
        </w:trPr>
        <w:tc>
          <w:tcPr>
            <w:tcW w:w="4588" w:type="dxa"/>
            <w:shd w:val="clear" w:color="auto" w:fill="DAEEF3" w:themeFill="accent5" w:themeFillTint="33"/>
            <w:noWrap/>
            <w:vAlign w:val="center"/>
          </w:tcPr>
          <w:p w:rsidR="00B318B0" w:rsidRPr="00107E97" w:rsidRDefault="00E21336" w:rsidP="00107E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Flag – </w:t>
            </w:r>
            <w:r w:rsidRPr="00FC2A22">
              <w:rPr>
                <w:sz w:val="20"/>
                <w:szCs w:val="20"/>
              </w:rPr>
              <w:t>Clearly understand relations between symbolism and social/physical landscape.  Simple yet elegant and strong sense of purpose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B318B0" w:rsidRDefault="00B318B0" w:rsidP="000A2B55"/>
          <w:p w:rsidR="00B318B0" w:rsidRDefault="00B318B0" w:rsidP="000A2B55"/>
          <w:p w:rsidR="00B318B0" w:rsidRDefault="00B318B0" w:rsidP="000A2B55"/>
          <w:p w:rsidR="00B318B0" w:rsidRPr="000A2B55" w:rsidRDefault="00B318B0" w:rsidP="000A2B55"/>
        </w:tc>
        <w:tc>
          <w:tcPr>
            <w:tcW w:w="1146" w:type="dxa"/>
            <w:shd w:val="clear" w:color="auto" w:fill="auto"/>
          </w:tcPr>
          <w:p w:rsidR="00B318B0" w:rsidRPr="000A2B55" w:rsidRDefault="00B318B0" w:rsidP="000A2B55"/>
        </w:tc>
        <w:tc>
          <w:tcPr>
            <w:tcW w:w="1146" w:type="dxa"/>
            <w:shd w:val="clear" w:color="auto" w:fill="F2F2F2" w:themeFill="background1" w:themeFillShade="F2"/>
          </w:tcPr>
          <w:p w:rsidR="00B318B0" w:rsidRPr="000A2B55" w:rsidRDefault="00B318B0" w:rsidP="000A2B55"/>
        </w:tc>
        <w:tc>
          <w:tcPr>
            <w:tcW w:w="1585" w:type="dxa"/>
            <w:shd w:val="clear" w:color="auto" w:fill="auto"/>
          </w:tcPr>
          <w:p w:rsidR="00B318B0" w:rsidRPr="000A2B55" w:rsidRDefault="00B318B0" w:rsidP="000A2B55"/>
        </w:tc>
      </w:tr>
      <w:tr w:rsidR="00B318B0" w:rsidRPr="000A2B55" w:rsidTr="008E6C67">
        <w:trPr>
          <w:trHeight w:val="792"/>
        </w:trPr>
        <w:tc>
          <w:tcPr>
            <w:tcW w:w="4588" w:type="dxa"/>
            <w:shd w:val="clear" w:color="auto" w:fill="DAEEF3" w:themeFill="accent5" w:themeFillTint="33"/>
            <w:noWrap/>
            <w:vAlign w:val="center"/>
          </w:tcPr>
          <w:p w:rsidR="00B318B0" w:rsidRPr="00B318B0" w:rsidRDefault="00FC2A22" w:rsidP="008E6C67">
            <w:pPr>
              <w:pStyle w:val="Heading3"/>
              <w:jc w:val="left"/>
            </w:pPr>
            <w:r>
              <w:rPr>
                <w:b/>
              </w:rPr>
              <w:t>Anthem</w:t>
            </w:r>
            <w:r w:rsidR="00B318B0">
              <w:rPr>
                <w:b/>
              </w:rPr>
              <w:t xml:space="preserve"> – </w:t>
            </w:r>
            <w:r>
              <w:t>Clearly reflects the values, contributions, reality of the City state.  Creatively presented and accurate.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B318B0" w:rsidRPr="000A2B55" w:rsidRDefault="00B318B0" w:rsidP="000A2B55"/>
        </w:tc>
        <w:tc>
          <w:tcPr>
            <w:tcW w:w="1146" w:type="dxa"/>
            <w:shd w:val="clear" w:color="auto" w:fill="auto"/>
          </w:tcPr>
          <w:p w:rsidR="00B318B0" w:rsidRPr="000A2B55" w:rsidRDefault="00B318B0" w:rsidP="000A2B55"/>
        </w:tc>
        <w:tc>
          <w:tcPr>
            <w:tcW w:w="1146" w:type="dxa"/>
            <w:shd w:val="clear" w:color="auto" w:fill="F2F2F2" w:themeFill="background1" w:themeFillShade="F2"/>
          </w:tcPr>
          <w:p w:rsidR="00B318B0" w:rsidRPr="000A2B55" w:rsidRDefault="00B318B0" w:rsidP="000A2B55"/>
        </w:tc>
        <w:tc>
          <w:tcPr>
            <w:tcW w:w="1585" w:type="dxa"/>
            <w:shd w:val="clear" w:color="auto" w:fill="auto"/>
          </w:tcPr>
          <w:p w:rsidR="00B318B0" w:rsidRPr="000A2B55" w:rsidRDefault="00B318B0" w:rsidP="000A2B55"/>
        </w:tc>
      </w:tr>
      <w:tr w:rsidR="00B318B0" w:rsidRPr="000A2B55" w:rsidTr="008E6C67">
        <w:trPr>
          <w:trHeight w:val="792"/>
        </w:trPr>
        <w:tc>
          <w:tcPr>
            <w:tcW w:w="4588" w:type="dxa"/>
            <w:shd w:val="clear" w:color="auto" w:fill="DAEEF3" w:themeFill="accent5" w:themeFillTint="33"/>
            <w:noWrap/>
          </w:tcPr>
          <w:p w:rsidR="00B318B0" w:rsidRPr="00B1431A" w:rsidRDefault="00DD61A6" w:rsidP="007555C0">
            <w:pPr>
              <w:pStyle w:val="Heading3"/>
              <w:widowControl w:val="0"/>
              <w:jc w:val="left"/>
            </w:pPr>
            <w:r>
              <w:rPr>
                <w:b/>
              </w:rPr>
              <w:t>Game</w:t>
            </w:r>
            <w:r w:rsidR="007555C0">
              <w:rPr>
                <w:b/>
              </w:rPr>
              <w:t xml:space="preserve"> </w:t>
            </w:r>
            <w:r w:rsidR="00B1431A">
              <w:rPr>
                <w:b/>
              </w:rPr>
              <w:t>–</w:t>
            </w:r>
            <w:r w:rsidR="00107E97">
              <w:rPr>
                <w:b/>
              </w:rPr>
              <w:t xml:space="preserve"> </w:t>
            </w:r>
            <w:r>
              <w:t>Clearly communicated and creative rules.  Adaptation still holds true to event.  Clear outcome and design.  Unique resources used or created</w:t>
            </w:r>
            <w:r w:rsidR="00B1431A">
              <w:t>.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B318B0" w:rsidRPr="000A2B55" w:rsidRDefault="00B318B0" w:rsidP="000A2B55"/>
        </w:tc>
        <w:tc>
          <w:tcPr>
            <w:tcW w:w="1146" w:type="dxa"/>
            <w:shd w:val="clear" w:color="auto" w:fill="auto"/>
          </w:tcPr>
          <w:p w:rsidR="00B318B0" w:rsidRPr="000A2B55" w:rsidRDefault="00B318B0" w:rsidP="000A2B55"/>
        </w:tc>
        <w:tc>
          <w:tcPr>
            <w:tcW w:w="1146" w:type="dxa"/>
            <w:shd w:val="clear" w:color="auto" w:fill="F2F2F2" w:themeFill="background1" w:themeFillShade="F2"/>
          </w:tcPr>
          <w:p w:rsidR="00B318B0" w:rsidRPr="000A2B55" w:rsidRDefault="00B318B0" w:rsidP="000A2B55"/>
        </w:tc>
        <w:tc>
          <w:tcPr>
            <w:tcW w:w="1585" w:type="dxa"/>
            <w:shd w:val="clear" w:color="auto" w:fill="auto"/>
          </w:tcPr>
          <w:p w:rsidR="00B318B0" w:rsidRPr="000A2B55" w:rsidRDefault="00B318B0" w:rsidP="000A2B55"/>
        </w:tc>
      </w:tr>
      <w:tr w:rsidR="00DD61A6" w:rsidRPr="000A2B55" w:rsidTr="008E6C67">
        <w:trPr>
          <w:trHeight w:val="792"/>
        </w:trPr>
        <w:tc>
          <w:tcPr>
            <w:tcW w:w="4588" w:type="dxa"/>
            <w:shd w:val="clear" w:color="auto" w:fill="DAEEF3" w:themeFill="accent5" w:themeFillTint="33"/>
            <w:noWrap/>
          </w:tcPr>
          <w:p w:rsidR="00DD61A6" w:rsidRDefault="00DD61A6" w:rsidP="00B1431A">
            <w:pPr>
              <w:pStyle w:val="Heading3"/>
              <w:jc w:val="left"/>
              <w:rPr>
                <w:b/>
              </w:rPr>
            </w:pPr>
            <w:r>
              <w:rPr>
                <w:b/>
              </w:rPr>
              <w:t xml:space="preserve">Myth – </w:t>
            </w:r>
            <w:r w:rsidRPr="00DD61A6">
              <w:t>Clearly presented. Flowed smoothly</w:t>
            </w:r>
            <w:r>
              <w:t xml:space="preserve">. Acting genuine and convincing.  Costumes or props used.  </w:t>
            </w:r>
            <w:r w:rsidR="008E6C67">
              <w:t>(BONUS)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DD61A6" w:rsidRPr="000A2B55" w:rsidRDefault="00DD61A6" w:rsidP="000A2B55"/>
        </w:tc>
        <w:tc>
          <w:tcPr>
            <w:tcW w:w="1146" w:type="dxa"/>
            <w:shd w:val="clear" w:color="auto" w:fill="auto"/>
          </w:tcPr>
          <w:p w:rsidR="00DD61A6" w:rsidRPr="000A2B55" w:rsidRDefault="00DD61A6" w:rsidP="000A2B55"/>
        </w:tc>
        <w:tc>
          <w:tcPr>
            <w:tcW w:w="1146" w:type="dxa"/>
            <w:shd w:val="clear" w:color="auto" w:fill="F2F2F2" w:themeFill="background1" w:themeFillShade="F2"/>
          </w:tcPr>
          <w:p w:rsidR="00DD61A6" w:rsidRPr="000A2B55" w:rsidRDefault="00DD61A6" w:rsidP="000A2B55"/>
        </w:tc>
        <w:tc>
          <w:tcPr>
            <w:tcW w:w="1585" w:type="dxa"/>
            <w:shd w:val="clear" w:color="auto" w:fill="auto"/>
          </w:tcPr>
          <w:p w:rsidR="00DD61A6" w:rsidRPr="000A2B55" w:rsidRDefault="00DD61A6" w:rsidP="000A2B55"/>
        </w:tc>
      </w:tr>
      <w:tr w:rsidR="00DD61A6" w:rsidRPr="000A2B55" w:rsidTr="008E6C67">
        <w:trPr>
          <w:trHeight w:val="792"/>
        </w:trPr>
        <w:tc>
          <w:tcPr>
            <w:tcW w:w="4588" w:type="dxa"/>
            <w:shd w:val="clear" w:color="auto" w:fill="DAEEF3" w:themeFill="accent5" w:themeFillTint="33"/>
            <w:noWrap/>
          </w:tcPr>
          <w:p w:rsidR="00DD61A6" w:rsidRDefault="00DD61A6" w:rsidP="00B1431A">
            <w:pPr>
              <w:pStyle w:val="Heading3"/>
              <w:jc w:val="left"/>
              <w:rPr>
                <w:b/>
              </w:rPr>
            </w:pPr>
            <w:r>
              <w:rPr>
                <w:b/>
              </w:rPr>
              <w:t xml:space="preserve">Speech – </w:t>
            </w:r>
            <w:r w:rsidRPr="00DD61A6">
              <w:t>Follows a logical sequence, from attention getting to relation to history and geography.  Makes solids arguments.  Dramatically presented in character.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DD61A6" w:rsidRPr="000A2B55" w:rsidRDefault="00DD61A6" w:rsidP="000A2B55"/>
        </w:tc>
        <w:tc>
          <w:tcPr>
            <w:tcW w:w="1146" w:type="dxa"/>
            <w:shd w:val="clear" w:color="auto" w:fill="auto"/>
          </w:tcPr>
          <w:p w:rsidR="00DD61A6" w:rsidRPr="000A2B55" w:rsidRDefault="00DD61A6" w:rsidP="000A2B55"/>
        </w:tc>
        <w:tc>
          <w:tcPr>
            <w:tcW w:w="1146" w:type="dxa"/>
            <w:shd w:val="clear" w:color="auto" w:fill="F2F2F2" w:themeFill="background1" w:themeFillShade="F2"/>
          </w:tcPr>
          <w:p w:rsidR="00DD61A6" w:rsidRPr="000A2B55" w:rsidRDefault="00DD61A6" w:rsidP="000A2B55"/>
        </w:tc>
        <w:tc>
          <w:tcPr>
            <w:tcW w:w="1585" w:type="dxa"/>
            <w:shd w:val="clear" w:color="auto" w:fill="auto"/>
          </w:tcPr>
          <w:p w:rsidR="00DD61A6" w:rsidRPr="000A2B55" w:rsidRDefault="00DD61A6" w:rsidP="000A2B55"/>
        </w:tc>
      </w:tr>
      <w:tr w:rsidR="007555C0" w:rsidRPr="000A2B55" w:rsidTr="008E6C67">
        <w:trPr>
          <w:trHeight w:val="1563"/>
        </w:trPr>
        <w:tc>
          <w:tcPr>
            <w:tcW w:w="4588" w:type="dxa"/>
            <w:shd w:val="clear" w:color="auto" w:fill="DAEEF3" w:themeFill="accent5" w:themeFillTint="33"/>
            <w:noWrap/>
            <w:vAlign w:val="center"/>
          </w:tcPr>
          <w:p w:rsidR="007555C0" w:rsidRPr="00107E97" w:rsidRDefault="007555C0" w:rsidP="007555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Poster</w:t>
            </w:r>
            <w:r w:rsidRPr="00107E97">
              <w:rPr>
                <w:sz w:val="20"/>
                <w:szCs w:val="20"/>
              </w:rPr>
              <w:t xml:space="preserve">– Research </w:t>
            </w:r>
            <w:r>
              <w:rPr>
                <w:sz w:val="20"/>
                <w:szCs w:val="20"/>
              </w:rPr>
              <w:t>accurate and apparent</w:t>
            </w:r>
            <w:r w:rsidRPr="00107E97">
              <w:rPr>
                <w:sz w:val="20"/>
                <w:szCs w:val="20"/>
              </w:rPr>
              <w:t xml:space="preserve">.  Items chosen for display are interesting and best reflect the local culture of the region.  </w:t>
            </w:r>
            <w:r w:rsidRPr="00107E97">
              <w:t>Critical decision making regarding how to display it</w:t>
            </w:r>
            <w:r>
              <w:t>ems.  Used Outside the box thinking to go from a mundane poster board to a highly effective.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7555C0" w:rsidRPr="000A2B55" w:rsidRDefault="007555C0" w:rsidP="007555C0"/>
        </w:tc>
        <w:tc>
          <w:tcPr>
            <w:tcW w:w="1146" w:type="dxa"/>
            <w:shd w:val="clear" w:color="auto" w:fill="auto"/>
          </w:tcPr>
          <w:p w:rsidR="007555C0" w:rsidRPr="000A2B55" w:rsidRDefault="007555C0" w:rsidP="007555C0"/>
        </w:tc>
        <w:tc>
          <w:tcPr>
            <w:tcW w:w="1146" w:type="dxa"/>
            <w:shd w:val="clear" w:color="auto" w:fill="F2F2F2" w:themeFill="background1" w:themeFillShade="F2"/>
          </w:tcPr>
          <w:p w:rsidR="007555C0" w:rsidRPr="000A2B55" w:rsidRDefault="007555C0" w:rsidP="007555C0"/>
        </w:tc>
        <w:tc>
          <w:tcPr>
            <w:tcW w:w="1585" w:type="dxa"/>
            <w:shd w:val="clear" w:color="auto" w:fill="auto"/>
          </w:tcPr>
          <w:p w:rsidR="007555C0" w:rsidRPr="000A2B55" w:rsidRDefault="007555C0" w:rsidP="007555C0"/>
        </w:tc>
      </w:tr>
      <w:tr w:rsidR="007555C0" w:rsidRPr="000A2B55" w:rsidTr="008E6C67">
        <w:trPr>
          <w:trHeight w:val="792"/>
        </w:trPr>
        <w:tc>
          <w:tcPr>
            <w:tcW w:w="4588" w:type="dxa"/>
            <w:shd w:val="clear" w:color="auto" w:fill="DAEEF3" w:themeFill="accent5" w:themeFillTint="33"/>
            <w:noWrap/>
          </w:tcPr>
          <w:p w:rsidR="007555C0" w:rsidRDefault="007555C0" w:rsidP="007555C0">
            <w:pPr>
              <w:pStyle w:val="Heading3"/>
              <w:jc w:val="left"/>
              <w:rPr>
                <w:b/>
              </w:rPr>
            </w:pPr>
            <w:r>
              <w:rPr>
                <w:b/>
              </w:rPr>
              <w:t>Overall Grade</w:t>
            </w:r>
          </w:p>
          <w:p w:rsidR="007555C0" w:rsidRPr="00812C42" w:rsidRDefault="007555C0" w:rsidP="007555C0"/>
        </w:tc>
        <w:tc>
          <w:tcPr>
            <w:tcW w:w="1146" w:type="dxa"/>
            <w:shd w:val="clear" w:color="auto" w:fill="F2F2F2" w:themeFill="background1" w:themeFillShade="F2"/>
          </w:tcPr>
          <w:p w:rsidR="007555C0" w:rsidRPr="000A2B55" w:rsidRDefault="007555C0" w:rsidP="007555C0"/>
        </w:tc>
        <w:tc>
          <w:tcPr>
            <w:tcW w:w="1146" w:type="dxa"/>
            <w:shd w:val="clear" w:color="auto" w:fill="auto"/>
          </w:tcPr>
          <w:p w:rsidR="007555C0" w:rsidRPr="000A2B55" w:rsidRDefault="007555C0" w:rsidP="007555C0"/>
        </w:tc>
        <w:tc>
          <w:tcPr>
            <w:tcW w:w="1146" w:type="dxa"/>
            <w:shd w:val="clear" w:color="auto" w:fill="F2F2F2" w:themeFill="background1" w:themeFillShade="F2"/>
          </w:tcPr>
          <w:p w:rsidR="007555C0" w:rsidRPr="000A2B55" w:rsidRDefault="007555C0" w:rsidP="007555C0"/>
        </w:tc>
        <w:tc>
          <w:tcPr>
            <w:tcW w:w="1585" w:type="dxa"/>
            <w:shd w:val="clear" w:color="auto" w:fill="auto"/>
          </w:tcPr>
          <w:p w:rsidR="007555C0" w:rsidRPr="000A2B55" w:rsidRDefault="007555C0" w:rsidP="007555C0"/>
        </w:tc>
      </w:tr>
    </w:tbl>
    <w:p w:rsidR="001C70A2" w:rsidRPr="000A2B55" w:rsidRDefault="008E6C67" w:rsidP="000A2B55">
      <w:r>
        <w:t>COMMENTS:</w:t>
      </w:r>
      <w:bookmarkStart w:id="0" w:name="_GoBack"/>
      <w:bookmarkEnd w:id="0"/>
    </w:p>
    <w:sectPr w:rsidR="001C70A2" w:rsidRPr="000A2B55" w:rsidSect="0053080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0B"/>
    <w:rsid w:val="00035F51"/>
    <w:rsid w:val="000A2B55"/>
    <w:rsid w:val="000F580C"/>
    <w:rsid w:val="00107E97"/>
    <w:rsid w:val="001A5614"/>
    <w:rsid w:val="001C0E32"/>
    <w:rsid w:val="001C70A2"/>
    <w:rsid w:val="002A08A9"/>
    <w:rsid w:val="002A578C"/>
    <w:rsid w:val="00350D85"/>
    <w:rsid w:val="00363071"/>
    <w:rsid w:val="004E0B73"/>
    <w:rsid w:val="0053080B"/>
    <w:rsid w:val="00555C19"/>
    <w:rsid w:val="006051B4"/>
    <w:rsid w:val="00632D2F"/>
    <w:rsid w:val="006B1922"/>
    <w:rsid w:val="00745595"/>
    <w:rsid w:val="00745D86"/>
    <w:rsid w:val="007555C0"/>
    <w:rsid w:val="007745C4"/>
    <w:rsid w:val="00812C42"/>
    <w:rsid w:val="008156AD"/>
    <w:rsid w:val="008B19BB"/>
    <w:rsid w:val="008E6C67"/>
    <w:rsid w:val="00964F89"/>
    <w:rsid w:val="00A1052D"/>
    <w:rsid w:val="00AC51C3"/>
    <w:rsid w:val="00B1431A"/>
    <w:rsid w:val="00B318B0"/>
    <w:rsid w:val="00BA101F"/>
    <w:rsid w:val="00BC6536"/>
    <w:rsid w:val="00C21DF9"/>
    <w:rsid w:val="00C22695"/>
    <w:rsid w:val="00D826C2"/>
    <w:rsid w:val="00DA4D61"/>
    <w:rsid w:val="00DD61A6"/>
    <w:rsid w:val="00E21336"/>
    <w:rsid w:val="00EC256D"/>
    <w:rsid w:val="00F27739"/>
    <w:rsid w:val="00F34D8F"/>
    <w:rsid w:val="00F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A0A09"/>
  <w15:docId w15:val="{94EBDC82-D111-4A17-90BA-2A8ED558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eacher\AppData\Roaming\Microsoft\Templates\WklyHmwrkSc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WklyHmwrkScd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teacher</dc:creator>
  <cp:lastModifiedBy>Chad Wardman</cp:lastModifiedBy>
  <cp:revision>3</cp:revision>
  <cp:lastPrinted>2015-02-18T19:53:00Z</cp:lastPrinted>
  <dcterms:created xsi:type="dcterms:W3CDTF">2016-06-13T17:09:00Z</dcterms:created>
  <dcterms:modified xsi:type="dcterms:W3CDTF">2017-05-09T04:04:00Z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